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0C49" w14:textId="77777777" w:rsidR="00CD3E59" w:rsidRDefault="00CD3E59" w:rsidP="00CD3E59">
      <w:pPr>
        <w:ind w:left="960"/>
      </w:pPr>
    </w:p>
    <w:p w14:paraId="4DC62B27" w14:textId="77777777" w:rsidR="00CD3E59" w:rsidRDefault="00CD3E59" w:rsidP="00CD3E59">
      <w:pPr>
        <w:pBdr>
          <w:top w:val="single" w:sz="4" w:space="1" w:color="000000"/>
          <w:left w:val="single" w:sz="4" w:space="4" w:color="000000"/>
          <w:bottom w:val="single" w:sz="4" w:space="1" w:color="000000"/>
          <w:right w:val="single" w:sz="4" w:space="4" w:color="000000"/>
        </w:pBdr>
        <w:ind w:left="960"/>
        <w:jc w:val="center"/>
        <w:rPr>
          <w:b/>
          <w:sz w:val="40"/>
          <w:szCs w:val="40"/>
        </w:rPr>
      </w:pPr>
      <w:r>
        <w:rPr>
          <w:b/>
          <w:sz w:val="40"/>
          <w:szCs w:val="40"/>
        </w:rPr>
        <w:t>COMMUNE DE PINS-JUSTARET</w:t>
      </w:r>
    </w:p>
    <w:p w14:paraId="467260D1" w14:textId="77777777" w:rsidR="00CD3E59" w:rsidRDefault="00CD3E59" w:rsidP="00CD3E59">
      <w:pPr>
        <w:ind w:left="960"/>
        <w:rPr>
          <w:b/>
        </w:rPr>
      </w:pPr>
    </w:p>
    <w:p w14:paraId="2CF9101D" w14:textId="77777777" w:rsidR="00CD3E59" w:rsidRDefault="00CD3E59" w:rsidP="00CD3E59">
      <w:pPr>
        <w:pBdr>
          <w:top w:val="single" w:sz="4" w:space="1" w:color="auto"/>
          <w:left w:val="single" w:sz="4" w:space="4" w:color="auto"/>
          <w:bottom w:val="single" w:sz="4" w:space="1" w:color="auto"/>
          <w:right w:val="single" w:sz="4" w:space="4" w:color="auto"/>
        </w:pBdr>
        <w:ind w:left="960"/>
        <w:jc w:val="center"/>
        <w:rPr>
          <w:b/>
        </w:rPr>
      </w:pPr>
    </w:p>
    <w:p w14:paraId="69EBE85F" w14:textId="77777777" w:rsidR="00CD3E59" w:rsidRDefault="00CD3E59" w:rsidP="00CD3E59">
      <w:pPr>
        <w:pBdr>
          <w:top w:val="single" w:sz="4" w:space="1" w:color="auto"/>
          <w:left w:val="single" w:sz="4" w:space="4" w:color="auto"/>
          <w:bottom w:val="single" w:sz="4" w:space="1" w:color="auto"/>
          <w:right w:val="single" w:sz="4" w:space="4" w:color="auto"/>
        </w:pBdr>
        <w:ind w:left="960"/>
        <w:jc w:val="center"/>
        <w:rPr>
          <w:b/>
          <w:sz w:val="32"/>
          <w:szCs w:val="32"/>
        </w:rPr>
      </w:pPr>
      <w:r>
        <w:rPr>
          <w:b/>
          <w:sz w:val="32"/>
          <w:szCs w:val="32"/>
        </w:rPr>
        <w:t>ARRETE PORTANT</w:t>
      </w:r>
    </w:p>
    <w:p w14:paraId="1A3E7B6D" w14:textId="77777777" w:rsidR="00CD3E59" w:rsidRDefault="00CD3E59" w:rsidP="00CD3E59">
      <w:pPr>
        <w:pBdr>
          <w:top w:val="single" w:sz="4" w:space="1" w:color="auto"/>
          <w:left w:val="single" w:sz="4" w:space="4" w:color="auto"/>
          <w:bottom w:val="single" w:sz="4" w:space="1" w:color="auto"/>
          <w:right w:val="single" w:sz="4" w:space="4" w:color="auto"/>
        </w:pBdr>
        <w:ind w:left="960"/>
        <w:jc w:val="center"/>
        <w:rPr>
          <w:b/>
          <w:sz w:val="32"/>
          <w:szCs w:val="32"/>
        </w:rPr>
      </w:pPr>
      <w:r>
        <w:rPr>
          <w:b/>
          <w:sz w:val="32"/>
          <w:szCs w:val="32"/>
        </w:rPr>
        <w:t>AUTORISATION D’OCCUPATION DU DOMAINE PUBLIC</w:t>
      </w:r>
    </w:p>
    <w:p w14:paraId="6A11C230" w14:textId="77777777" w:rsidR="00CD3E59" w:rsidRDefault="00CD3E59" w:rsidP="00CD3E59">
      <w:pPr>
        <w:pBdr>
          <w:top w:val="single" w:sz="4" w:space="1" w:color="auto"/>
          <w:left w:val="single" w:sz="4" w:space="4" w:color="auto"/>
          <w:bottom w:val="single" w:sz="4" w:space="1" w:color="auto"/>
          <w:right w:val="single" w:sz="4" w:space="4" w:color="auto"/>
        </w:pBdr>
        <w:ind w:left="960"/>
        <w:jc w:val="center"/>
        <w:rPr>
          <w:b/>
          <w:sz w:val="32"/>
          <w:szCs w:val="32"/>
        </w:rPr>
      </w:pPr>
    </w:p>
    <w:p w14:paraId="4653911D" w14:textId="20A8F989" w:rsidR="00CD3E59" w:rsidRDefault="00CD3E59" w:rsidP="00CD3E59">
      <w:pPr>
        <w:pBdr>
          <w:top w:val="single" w:sz="4" w:space="1" w:color="auto"/>
          <w:left w:val="single" w:sz="4" w:space="4" w:color="auto"/>
          <w:bottom w:val="single" w:sz="4" w:space="1" w:color="auto"/>
          <w:right w:val="single" w:sz="4" w:space="4" w:color="auto"/>
        </w:pBdr>
        <w:ind w:left="960"/>
        <w:jc w:val="center"/>
        <w:rPr>
          <w:b/>
        </w:rPr>
      </w:pPr>
      <w:r>
        <w:rPr>
          <w:b/>
        </w:rPr>
        <w:t>2023-</w:t>
      </w:r>
      <w:r w:rsidR="001E59F7">
        <w:rPr>
          <w:b/>
        </w:rPr>
        <w:t>49</w:t>
      </w:r>
      <w:r>
        <w:rPr>
          <w:b/>
        </w:rPr>
        <w:t>-AGT</w:t>
      </w:r>
    </w:p>
    <w:p w14:paraId="0EF2F209" w14:textId="77777777" w:rsidR="00CD3E59" w:rsidRDefault="00CD3E59" w:rsidP="00CD3E59">
      <w:pPr>
        <w:pBdr>
          <w:top w:val="single" w:sz="4" w:space="1" w:color="auto"/>
          <w:left w:val="single" w:sz="4" w:space="4" w:color="auto"/>
          <w:bottom w:val="single" w:sz="4" w:space="1" w:color="auto"/>
          <w:right w:val="single" w:sz="4" w:space="4" w:color="auto"/>
        </w:pBdr>
        <w:ind w:left="960"/>
        <w:jc w:val="center"/>
        <w:rPr>
          <w:b/>
        </w:rPr>
      </w:pPr>
    </w:p>
    <w:p w14:paraId="193BF759" w14:textId="77777777" w:rsidR="00CD3E59" w:rsidRDefault="00CD3E59" w:rsidP="00CD3E59">
      <w:pPr>
        <w:rPr>
          <w:b/>
        </w:rPr>
      </w:pPr>
    </w:p>
    <w:p w14:paraId="2C8CCE07" w14:textId="77777777" w:rsidR="00CD3E59" w:rsidRDefault="00CD3E59" w:rsidP="00CD3E59">
      <w:pPr>
        <w:ind w:left="960"/>
        <w:jc w:val="center"/>
        <w:rPr>
          <w:b/>
        </w:rPr>
      </w:pPr>
      <w:r>
        <w:rPr>
          <w:b/>
        </w:rPr>
        <w:t>LE MAIRE</w:t>
      </w:r>
    </w:p>
    <w:p w14:paraId="30C89AF7" w14:textId="77777777" w:rsidR="00CD3E59" w:rsidRDefault="00CD3E59" w:rsidP="00CD3E59"/>
    <w:p w14:paraId="1AEDC6F5" w14:textId="77777777" w:rsidR="00CD3E59" w:rsidRDefault="00CD3E59" w:rsidP="00CD3E59">
      <w:pPr>
        <w:ind w:left="1416"/>
        <w:jc w:val="both"/>
      </w:pPr>
      <w:r>
        <w:rPr>
          <w:b/>
        </w:rPr>
        <w:t>VU</w:t>
      </w:r>
      <w:r>
        <w:t xml:space="preserve"> le code général des collectivités territoriales</w:t>
      </w:r>
    </w:p>
    <w:p w14:paraId="2EF65496" w14:textId="77777777" w:rsidR="00CD3E59" w:rsidRDefault="00CD3E59" w:rsidP="00CD3E59">
      <w:pPr>
        <w:ind w:left="1416"/>
        <w:jc w:val="both"/>
      </w:pPr>
      <w:r>
        <w:rPr>
          <w:b/>
        </w:rPr>
        <w:t>VU</w:t>
      </w:r>
      <w:r>
        <w:t xml:space="preserve"> le code général de la propriété des personnes publiques et notamment son article L 2122-</w:t>
      </w:r>
      <w:proofErr w:type="gramStart"/>
      <w:r>
        <w:t>1 ,</w:t>
      </w:r>
      <w:proofErr w:type="gramEnd"/>
    </w:p>
    <w:p w14:paraId="3B17BF15" w14:textId="77777777" w:rsidR="00CD3E59" w:rsidRDefault="00CD3E59" w:rsidP="00CD3E59">
      <w:pPr>
        <w:ind w:left="1416"/>
        <w:jc w:val="both"/>
      </w:pPr>
      <w:r>
        <w:rPr>
          <w:b/>
        </w:rPr>
        <w:t>VU</w:t>
      </w:r>
      <w:r>
        <w:t xml:space="preserve"> le code du commerce et notamment son article L 310-2,</w:t>
      </w:r>
    </w:p>
    <w:p w14:paraId="21C92060" w14:textId="77777777" w:rsidR="007F0C9A" w:rsidRPr="00757F4B" w:rsidRDefault="007F0C9A" w:rsidP="007F0C9A">
      <w:pPr>
        <w:ind w:left="1416"/>
        <w:rPr>
          <w:bCs/>
        </w:rPr>
      </w:pPr>
      <w:r>
        <w:rPr>
          <w:b/>
        </w:rPr>
        <w:t>VU</w:t>
      </w:r>
      <w:r>
        <w:rPr>
          <w:bCs/>
        </w:rPr>
        <w:t xml:space="preserve"> la délibération du Conseil Municipal n°2022-04-09 en date du 21 septembre 2022 fixant les tarifs des droits de place</w:t>
      </w:r>
    </w:p>
    <w:p w14:paraId="190A5223" w14:textId="77777777" w:rsidR="00CD3E59" w:rsidRDefault="00CD3E59" w:rsidP="00CD3E59">
      <w:pPr>
        <w:ind w:left="1416"/>
        <w:jc w:val="both"/>
      </w:pPr>
    </w:p>
    <w:p w14:paraId="3BFDC376" w14:textId="1CA800E2" w:rsidR="00CD3E59" w:rsidRDefault="00CD3E59" w:rsidP="00CD3E59">
      <w:pPr>
        <w:ind w:left="1416"/>
        <w:jc w:val="both"/>
      </w:pPr>
      <w:r>
        <w:rPr>
          <w:b/>
        </w:rPr>
        <w:t xml:space="preserve">Considérant </w:t>
      </w:r>
      <w:r>
        <w:t>la demande d</w:t>
      </w:r>
      <w:r w:rsidR="001E59F7">
        <w:t>e Guignol d’Aquitaine représenté par M. KERWICH</w:t>
      </w:r>
      <w:r>
        <w:t xml:space="preserve"> d’autorisation d’occuper la place publique René Loubet afin d’</w:t>
      </w:r>
      <w:r w:rsidR="001E59F7">
        <w:t>installer un th</w:t>
      </w:r>
      <w:r w:rsidR="00BA554F">
        <w:t>éâ</w:t>
      </w:r>
      <w:r w:rsidR="001E59F7">
        <w:t>tre de marionnettes</w:t>
      </w:r>
      <w:r>
        <w:t xml:space="preserve"> </w:t>
      </w:r>
      <w:r w:rsidR="001E59F7">
        <w:t>du 2</w:t>
      </w:r>
      <w:r w:rsidR="00BA554F">
        <w:t>7</w:t>
      </w:r>
      <w:r w:rsidR="001E59F7">
        <w:t xml:space="preserve"> au </w:t>
      </w:r>
      <w:r w:rsidR="00BA554F">
        <w:t>29</w:t>
      </w:r>
      <w:r w:rsidR="001E59F7">
        <w:t xml:space="preserve"> mai</w:t>
      </w:r>
      <w:r>
        <w:t xml:space="preserve"> 2023</w:t>
      </w:r>
      <w:r w:rsidR="00BA554F">
        <w:t xml:space="preserve"> inclus.</w:t>
      </w:r>
    </w:p>
    <w:p w14:paraId="114048EE" w14:textId="77777777" w:rsidR="00CD3E59" w:rsidRDefault="00CD3E59" w:rsidP="00CD3E59">
      <w:pPr>
        <w:ind w:left="1416"/>
        <w:jc w:val="both"/>
      </w:pPr>
    </w:p>
    <w:p w14:paraId="6A3A9BBD" w14:textId="77777777" w:rsidR="00CD3E59" w:rsidRDefault="00CD3E59" w:rsidP="00CD3E59">
      <w:pPr>
        <w:ind w:left="4248"/>
        <w:jc w:val="both"/>
      </w:pPr>
      <w:r>
        <w:rPr>
          <w:b/>
          <w:sz w:val="32"/>
          <w:szCs w:val="32"/>
        </w:rPr>
        <w:t>ARRÊTE</w:t>
      </w:r>
    </w:p>
    <w:p w14:paraId="65759439" w14:textId="77777777" w:rsidR="00CD3E59" w:rsidRDefault="00CD3E59" w:rsidP="00CD3E59">
      <w:pPr>
        <w:ind w:left="1416"/>
        <w:jc w:val="both"/>
      </w:pPr>
    </w:p>
    <w:p w14:paraId="6AC4447E" w14:textId="4CBCE5C2" w:rsidR="00CD3E59" w:rsidRDefault="00CD3E59" w:rsidP="00CD3E59">
      <w:pPr>
        <w:ind w:left="1416"/>
        <w:jc w:val="both"/>
        <w:rPr>
          <w:b/>
        </w:rPr>
      </w:pPr>
      <w:r>
        <w:rPr>
          <w:b/>
          <w:u w:val="single"/>
        </w:rPr>
        <w:t>Article 1</w:t>
      </w:r>
      <w:r w:rsidR="007F0C9A">
        <w:rPr>
          <w:b/>
          <w:u w:val="single"/>
        </w:rPr>
        <w:t xml:space="preserve"> : </w:t>
      </w:r>
      <w:r w:rsidR="007F0C9A" w:rsidRPr="007F0C9A">
        <w:rPr>
          <w:b/>
        </w:rPr>
        <w:t>Autorisation</w:t>
      </w:r>
    </w:p>
    <w:p w14:paraId="0684844C" w14:textId="77777777" w:rsidR="00CD3E59" w:rsidRDefault="00CD3E59" w:rsidP="00CD3E59">
      <w:pPr>
        <w:ind w:left="1416"/>
        <w:jc w:val="both"/>
      </w:pPr>
    </w:p>
    <w:p w14:paraId="24D40817" w14:textId="4F59AC71" w:rsidR="00CD3E59" w:rsidRDefault="00CD3E59" w:rsidP="00CD3E59">
      <w:pPr>
        <w:ind w:left="1416"/>
        <w:jc w:val="both"/>
      </w:pPr>
      <w:r>
        <w:t xml:space="preserve">Le bénéficiaire est autorisé à occuper </w:t>
      </w:r>
      <w:r w:rsidR="00BA554F">
        <w:t xml:space="preserve">les 20 places de stationnement situées au fond du parking </w:t>
      </w:r>
      <w:r w:rsidR="00BA554F">
        <w:t xml:space="preserve">de la place publique René Loubet </w:t>
      </w:r>
      <w:r w:rsidR="00BA554F">
        <w:t>entre l’aire de jeux et l’accès à la salle polyvalente</w:t>
      </w:r>
      <w:r>
        <w:t xml:space="preserve"> en vue d’</w:t>
      </w:r>
      <w:r w:rsidR="00BA554F">
        <w:t>installe</w:t>
      </w:r>
      <w:r>
        <w:t xml:space="preserve">r </w:t>
      </w:r>
      <w:r w:rsidR="00BA554F">
        <w:t xml:space="preserve">un théâtre de marionnettes </w:t>
      </w:r>
      <w:r>
        <w:t xml:space="preserve">à charge pour lui de se conformer </w:t>
      </w:r>
      <w:r w:rsidR="00BA554F">
        <w:t>aux prescriptions suivantes :</w:t>
      </w:r>
    </w:p>
    <w:p w14:paraId="754721D6" w14:textId="77777777" w:rsidR="00CD3E59" w:rsidRDefault="00CD3E59" w:rsidP="00CD3E59">
      <w:pPr>
        <w:jc w:val="both"/>
      </w:pPr>
    </w:p>
    <w:p w14:paraId="44E9F385" w14:textId="22CDBBA8" w:rsidR="00CD3E59" w:rsidRDefault="00CD3E59" w:rsidP="00CD3E59">
      <w:pPr>
        <w:ind w:left="1416"/>
        <w:jc w:val="both"/>
        <w:rPr>
          <w:b/>
        </w:rPr>
      </w:pPr>
      <w:r>
        <w:rPr>
          <w:b/>
          <w:u w:val="single"/>
        </w:rPr>
        <w:t>Article 2</w:t>
      </w:r>
      <w:r w:rsidR="007F0C9A">
        <w:rPr>
          <w:b/>
          <w:u w:val="single"/>
        </w:rPr>
        <w:t> </w:t>
      </w:r>
      <w:r w:rsidR="007F0C9A">
        <w:rPr>
          <w:b/>
        </w:rPr>
        <w:t>: Durée et conditions d’occupation</w:t>
      </w:r>
    </w:p>
    <w:p w14:paraId="5E301AFE" w14:textId="77777777" w:rsidR="00CD3E59" w:rsidRDefault="00CD3E59" w:rsidP="00CD3E59">
      <w:pPr>
        <w:ind w:left="1416"/>
        <w:jc w:val="both"/>
      </w:pPr>
    </w:p>
    <w:p w14:paraId="76886EC4" w14:textId="0D1586C5" w:rsidR="00CD3E59" w:rsidRDefault="00CD3E59" w:rsidP="00CD3E59">
      <w:pPr>
        <w:ind w:left="1416"/>
        <w:jc w:val="both"/>
      </w:pPr>
      <w:r>
        <w:t xml:space="preserve">L’occupation est autorisée sur </w:t>
      </w:r>
      <w:r w:rsidR="00BA554F">
        <w:t>20 places de stationnement</w:t>
      </w:r>
      <w:r>
        <w:t xml:space="preserve"> de la place René Loubet, </w:t>
      </w:r>
    </w:p>
    <w:p w14:paraId="6B0E5601" w14:textId="77777777" w:rsidR="00CD3E59" w:rsidRDefault="00CD3E59" w:rsidP="00CD3E59">
      <w:pPr>
        <w:ind w:left="1416"/>
        <w:jc w:val="both"/>
      </w:pPr>
      <w:r>
        <w:t xml:space="preserve"> </w:t>
      </w:r>
    </w:p>
    <w:p w14:paraId="2006477F" w14:textId="1C0574F2" w:rsidR="00CD3E59" w:rsidRDefault="00BA554F" w:rsidP="00CD3E59">
      <w:pPr>
        <w:ind w:left="2832" w:firstLine="708"/>
        <w:jc w:val="both"/>
      </w:pPr>
      <w:proofErr w:type="gramStart"/>
      <w:r>
        <w:rPr>
          <w:b/>
          <w:bCs/>
        </w:rPr>
        <w:t>du</w:t>
      </w:r>
      <w:proofErr w:type="gramEnd"/>
      <w:r w:rsidR="00CD3E59" w:rsidRPr="007704B0">
        <w:rPr>
          <w:b/>
          <w:bCs/>
        </w:rPr>
        <w:t xml:space="preserve"> </w:t>
      </w:r>
      <w:r>
        <w:rPr>
          <w:b/>
          <w:bCs/>
        </w:rPr>
        <w:t>27 au 29 mai</w:t>
      </w:r>
      <w:r w:rsidR="00CD3E59" w:rsidRPr="007704B0">
        <w:rPr>
          <w:b/>
          <w:bCs/>
        </w:rPr>
        <w:t xml:space="preserve"> 202</w:t>
      </w:r>
      <w:r w:rsidR="00CD3E59">
        <w:rPr>
          <w:b/>
          <w:bCs/>
        </w:rPr>
        <w:t>3</w:t>
      </w:r>
      <w:r w:rsidR="00CD3E59" w:rsidRPr="007704B0">
        <w:rPr>
          <w:b/>
          <w:bCs/>
        </w:rPr>
        <w:t xml:space="preserve"> </w:t>
      </w:r>
      <w:r w:rsidR="007F0C9A">
        <w:rPr>
          <w:b/>
          <w:bCs/>
        </w:rPr>
        <w:t>inclus</w:t>
      </w:r>
      <w:r w:rsidR="00CD3E59">
        <w:t>.</w:t>
      </w:r>
    </w:p>
    <w:p w14:paraId="2BF1929A" w14:textId="77777777" w:rsidR="00CD3E59" w:rsidRDefault="00CD3E59" w:rsidP="00CD3E59">
      <w:pPr>
        <w:jc w:val="both"/>
      </w:pPr>
    </w:p>
    <w:p w14:paraId="4228A52F" w14:textId="333B65B3" w:rsidR="00CD3E59" w:rsidRDefault="00CD3E59" w:rsidP="00CD3E59">
      <w:pPr>
        <w:ind w:left="1416"/>
        <w:jc w:val="both"/>
        <w:rPr>
          <w:bCs/>
        </w:rPr>
      </w:pPr>
      <w:r>
        <w:rPr>
          <w:bCs/>
        </w:rPr>
        <w:t xml:space="preserve">L’installation du </w:t>
      </w:r>
      <w:r w:rsidR="007F0C9A">
        <w:rPr>
          <w:bCs/>
        </w:rPr>
        <w:t>théâtre</w:t>
      </w:r>
      <w:r>
        <w:rPr>
          <w:bCs/>
        </w:rPr>
        <w:t xml:space="preserve"> doit être réalisée dans les conditions les moins dommageables pour le domaine public, dans le respect de l’environnement.</w:t>
      </w:r>
    </w:p>
    <w:p w14:paraId="2C55DAC9" w14:textId="77777777" w:rsidR="00CD3E59" w:rsidRDefault="00CD3E59" w:rsidP="00CD3E59">
      <w:pPr>
        <w:ind w:left="1416"/>
        <w:jc w:val="both"/>
        <w:rPr>
          <w:bCs/>
        </w:rPr>
      </w:pPr>
      <w:r>
        <w:rPr>
          <w:bCs/>
        </w:rPr>
        <w:t>L’occupant sera tenu de prendre toutes les mesures nécessaires pour que l’occupation de cet espace public n’apporte ni troubles ni gêne aux services publics et aux riverains.</w:t>
      </w:r>
    </w:p>
    <w:p w14:paraId="74B71B45" w14:textId="77777777" w:rsidR="00CD3E59" w:rsidRDefault="00CD3E59" w:rsidP="00CD3E59">
      <w:pPr>
        <w:ind w:left="1416"/>
        <w:jc w:val="both"/>
        <w:rPr>
          <w:bCs/>
        </w:rPr>
      </w:pPr>
      <w:r>
        <w:rPr>
          <w:bCs/>
        </w:rPr>
        <w:t>L’occupant veillera à conserver le domaine public en parfait état de propreté pendant la durée de l’occupation.</w:t>
      </w:r>
    </w:p>
    <w:p w14:paraId="2F9E267F" w14:textId="529FDF4F" w:rsidR="00CD3E59" w:rsidRDefault="00CD3E59" w:rsidP="00CD3E59">
      <w:pPr>
        <w:ind w:left="1416"/>
        <w:jc w:val="both"/>
        <w:rPr>
          <w:bCs/>
        </w:rPr>
      </w:pPr>
      <w:r>
        <w:rPr>
          <w:bCs/>
        </w:rPr>
        <w:lastRenderedPageBreak/>
        <w:t>Un état des lieux sera effectué par les services communaux avant toute occupation de l’espace public. Dès la fin d</w:t>
      </w:r>
      <w:r w:rsidR="007F0C9A">
        <w:rPr>
          <w:bCs/>
        </w:rPr>
        <w:t>e</w:t>
      </w:r>
      <w:r>
        <w:rPr>
          <w:bCs/>
        </w:rPr>
        <w:t xml:space="preserve"> </w:t>
      </w:r>
      <w:r w:rsidR="007F0C9A">
        <w:rPr>
          <w:bCs/>
        </w:rPr>
        <w:t>l’occupation</w:t>
      </w:r>
      <w:r>
        <w:rPr>
          <w:bCs/>
        </w:rPr>
        <w:t>, l’espace public sera remis dans son état initial.</w:t>
      </w:r>
    </w:p>
    <w:p w14:paraId="61379680" w14:textId="77777777" w:rsidR="00CD3E59" w:rsidRDefault="00CD3E59" w:rsidP="00CD3E59">
      <w:pPr>
        <w:ind w:left="1416"/>
        <w:jc w:val="both"/>
        <w:rPr>
          <w:bCs/>
        </w:rPr>
      </w:pPr>
    </w:p>
    <w:p w14:paraId="2C958777" w14:textId="0DBF63EF" w:rsidR="00CD3E59" w:rsidRPr="007F0C9A" w:rsidRDefault="00CD3E59" w:rsidP="00CD3E59">
      <w:pPr>
        <w:ind w:left="1440"/>
        <w:jc w:val="both"/>
        <w:rPr>
          <w:b/>
          <w:bCs/>
        </w:rPr>
      </w:pPr>
      <w:r w:rsidRPr="00E74248">
        <w:rPr>
          <w:b/>
          <w:bCs/>
          <w:u w:val="single"/>
        </w:rPr>
        <w:t>Article 4</w:t>
      </w:r>
      <w:r>
        <w:rPr>
          <w:b/>
          <w:bCs/>
          <w:u w:val="single"/>
        </w:rPr>
        <w:t> :</w:t>
      </w:r>
      <w:r w:rsidR="007F0C9A">
        <w:rPr>
          <w:b/>
          <w:bCs/>
          <w:u w:val="single"/>
        </w:rPr>
        <w:t xml:space="preserve"> </w:t>
      </w:r>
      <w:r w:rsidR="007F0C9A" w:rsidRPr="007F0C9A">
        <w:rPr>
          <w:b/>
          <w:bCs/>
        </w:rPr>
        <w:t>Redevance</w:t>
      </w:r>
    </w:p>
    <w:p w14:paraId="7F7AA755" w14:textId="77777777" w:rsidR="00CD3E59" w:rsidRDefault="00CD3E59" w:rsidP="00CD3E59">
      <w:pPr>
        <w:ind w:left="1440"/>
        <w:jc w:val="both"/>
        <w:rPr>
          <w:b/>
          <w:bCs/>
        </w:rPr>
      </w:pPr>
    </w:p>
    <w:p w14:paraId="7660F0F8" w14:textId="77777777" w:rsidR="007F0C9A" w:rsidRDefault="007F0C9A" w:rsidP="007F0C9A">
      <w:pPr>
        <w:ind w:left="1413"/>
      </w:pPr>
      <w:r>
        <w:t>Cette autorisation est consentie moyennant le paiement d’une redevance fixée par délibération du Conseil Municipal à 50 euros/jour.</w:t>
      </w:r>
    </w:p>
    <w:p w14:paraId="00095535" w14:textId="77777777" w:rsidR="007F0C9A" w:rsidRDefault="007F0C9A" w:rsidP="007F0C9A">
      <w:pPr>
        <w:ind w:left="1410"/>
      </w:pPr>
      <w:r>
        <w:t>La redevance est payable auprès de Mme la régisseuse de recettes de la régie « droits de place ».</w:t>
      </w:r>
    </w:p>
    <w:p w14:paraId="01167028" w14:textId="77777777" w:rsidR="007F0C9A" w:rsidRDefault="007F0C9A" w:rsidP="007F0C9A">
      <w:pPr>
        <w:ind w:left="1440"/>
        <w:jc w:val="both"/>
      </w:pPr>
    </w:p>
    <w:p w14:paraId="5CF3410A" w14:textId="77777777" w:rsidR="007F0C9A" w:rsidRDefault="00CD3E59" w:rsidP="007F0C9A">
      <w:pPr>
        <w:ind w:left="1416"/>
      </w:pPr>
      <w:r>
        <w:rPr>
          <w:b/>
          <w:u w:val="single"/>
        </w:rPr>
        <w:t>Article 5</w:t>
      </w:r>
      <w:r>
        <w:rPr>
          <w:b/>
        </w:rPr>
        <w:t xml:space="preserve"> : </w:t>
      </w:r>
      <w:r w:rsidR="007F0C9A">
        <w:rPr>
          <w:b/>
        </w:rPr>
        <w:t>Responsabilité.</w:t>
      </w:r>
    </w:p>
    <w:p w14:paraId="31409B43" w14:textId="7B1315DD" w:rsidR="00CD3E59" w:rsidRDefault="00CD3E59" w:rsidP="00CD3E59">
      <w:pPr>
        <w:ind w:left="1416"/>
        <w:jc w:val="both"/>
      </w:pPr>
    </w:p>
    <w:p w14:paraId="58FE190F" w14:textId="77777777" w:rsidR="00CD3E59" w:rsidRDefault="00CD3E59" w:rsidP="00CD3E59">
      <w:pPr>
        <w:ind w:left="1416"/>
        <w:jc w:val="both"/>
      </w:pPr>
      <w:r>
        <w:t>Cette autorisation est délivrée à titre personnel et ne peut être cédée.</w:t>
      </w:r>
    </w:p>
    <w:p w14:paraId="27142D64" w14:textId="77777777" w:rsidR="00CD3E59" w:rsidRDefault="00CD3E59" w:rsidP="00CD3E59">
      <w:pPr>
        <w:ind w:left="1416"/>
        <w:jc w:val="both"/>
      </w:pPr>
      <w:r>
        <w:t>Son titulaire est responsable tant vis-à-vis de la collectivité représentée par le signataire que vis-à-vis des tiers, des accidents de toute nature qui pourraient résulter du vide-greniers.</w:t>
      </w:r>
    </w:p>
    <w:p w14:paraId="4C1E201B" w14:textId="77777777" w:rsidR="00CD3E59" w:rsidRDefault="00CD3E59" w:rsidP="00CD3E59">
      <w:pPr>
        <w:jc w:val="both"/>
      </w:pPr>
    </w:p>
    <w:p w14:paraId="3635B724" w14:textId="77777777" w:rsidR="007F0C9A" w:rsidRDefault="00CD3E59" w:rsidP="007F0C9A">
      <w:pPr>
        <w:ind w:left="1416"/>
        <w:rPr>
          <w:b/>
        </w:rPr>
      </w:pPr>
      <w:r>
        <w:rPr>
          <w:b/>
          <w:u w:val="single"/>
        </w:rPr>
        <w:t>Article 6</w:t>
      </w:r>
      <w:r>
        <w:rPr>
          <w:b/>
        </w:rPr>
        <w:t xml:space="preserve"> </w:t>
      </w:r>
      <w:r w:rsidR="007F0C9A">
        <w:rPr>
          <w:b/>
        </w:rPr>
        <w:t>Validité et renouvellement de l’arrêté, remise en état des lieux</w:t>
      </w:r>
    </w:p>
    <w:p w14:paraId="3AC2904A" w14:textId="45BFB8CB" w:rsidR="00CD3E59" w:rsidRDefault="00CD3E59" w:rsidP="00CD3E59">
      <w:pPr>
        <w:ind w:left="1416"/>
        <w:jc w:val="both"/>
        <w:rPr>
          <w:b/>
        </w:rPr>
      </w:pPr>
    </w:p>
    <w:p w14:paraId="3523C6AF" w14:textId="77777777" w:rsidR="00CD3E59" w:rsidRDefault="00CD3E59" w:rsidP="00CD3E59">
      <w:pPr>
        <w:ind w:left="1416"/>
        <w:jc w:val="both"/>
      </w:pPr>
      <w:r>
        <w:t>La présente autorisation est délivrée à titre précaire et révocable, et ne confère aucun droit réel à son titulaire : elle peut être retirée à tout moment pour des raisons de gestion de domaine public et en cas de non-conformité de l’utilisation sans qu’il puisse résulter, pour ce dernier, de droit à indemnité.</w:t>
      </w:r>
    </w:p>
    <w:p w14:paraId="388A04A3" w14:textId="77777777" w:rsidR="00CD3E59" w:rsidRDefault="00CD3E59" w:rsidP="00CD3E59">
      <w:pPr>
        <w:ind w:left="1416"/>
        <w:jc w:val="both"/>
      </w:pPr>
      <w:r>
        <w:t>En cas de révocation de l’autorisation ou au terme de sa validité en cas de non renouvellement, son bénéficiaire sera tenu, si les circonstances l’exigent, de remettre les lieux dans leur état primitif dans le délai d’un mois à compter de la révocation ou du terme de l’autorisation. Passé ce délai, en cas d’inexécution, procès-verbal sera dressé à son encontre, et la remise en état des lieux sera exécutée d’office aux frais du bénéficiaire de la présente autorisation.</w:t>
      </w:r>
    </w:p>
    <w:p w14:paraId="21E0AB9F" w14:textId="77777777" w:rsidR="00CD3E59" w:rsidRDefault="00CD3E59" w:rsidP="00CD3E59">
      <w:pPr>
        <w:ind w:left="1416"/>
        <w:jc w:val="both"/>
      </w:pPr>
    </w:p>
    <w:p w14:paraId="4324B466" w14:textId="032100E6" w:rsidR="00CD3E59" w:rsidRPr="007F0C9A" w:rsidRDefault="00CD3E59" w:rsidP="00CD3E59">
      <w:pPr>
        <w:jc w:val="both"/>
        <w:rPr>
          <w:b/>
          <w:bCs/>
        </w:rPr>
      </w:pPr>
      <w:r>
        <w:tab/>
      </w:r>
      <w:r>
        <w:tab/>
      </w:r>
      <w:r>
        <w:rPr>
          <w:b/>
          <w:bCs/>
          <w:u w:val="single"/>
        </w:rPr>
        <w:t>Article 7</w:t>
      </w:r>
      <w:r w:rsidR="007F0C9A">
        <w:rPr>
          <w:b/>
          <w:bCs/>
          <w:u w:val="single"/>
        </w:rPr>
        <w:t xml:space="preserve"> : </w:t>
      </w:r>
      <w:r w:rsidR="007F0C9A" w:rsidRPr="007F0C9A">
        <w:rPr>
          <w:b/>
          <w:bCs/>
        </w:rPr>
        <w:t>Application</w:t>
      </w:r>
    </w:p>
    <w:p w14:paraId="72298B63" w14:textId="77777777" w:rsidR="00CD3E59" w:rsidRDefault="00CD3E59" w:rsidP="00CD3E59">
      <w:pPr>
        <w:jc w:val="both"/>
      </w:pPr>
    </w:p>
    <w:p w14:paraId="3ED5491B" w14:textId="77777777" w:rsidR="00CD3E59" w:rsidRDefault="00CD3E59" w:rsidP="00CD3E59">
      <w:pPr>
        <w:ind w:left="1416"/>
        <w:jc w:val="both"/>
      </w:pPr>
      <w:r>
        <w:t>Monsieur le Directeur Général des Services</w:t>
      </w:r>
    </w:p>
    <w:p w14:paraId="17625944" w14:textId="77777777" w:rsidR="00CD3E59" w:rsidRDefault="00CD3E59" w:rsidP="00CD3E59">
      <w:pPr>
        <w:ind w:left="1416"/>
        <w:jc w:val="both"/>
      </w:pPr>
      <w:r>
        <w:t>Monsieur le Chef de la Police Municipale de Pins-Justaret,</w:t>
      </w:r>
    </w:p>
    <w:p w14:paraId="330751FB" w14:textId="77777777" w:rsidR="00CD3E59" w:rsidRDefault="00CD3E59" w:rsidP="00CD3E59">
      <w:pPr>
        <w:ind w:left="1416"/>
        <w:jc w:val="both"/>
      </w:pPr>
      <w:proofErr w:type="gramStart"/>
      <w:r>
        <w:t>sont</w:t>
      </w:r>
      <w:proofErr w:type="gramEnd"/>
      <w:r>
        <w:t xml:space="preserve"> chargés, chacun en ce qui le concerne, de l’exécution des prescriptions du présent arrêté.</w:t>
      </w:r>
    </w:p>
    <w:p w14:paraId="3AE0E094" w14:textId="77777777" w:rsidR="00CD3E59" w:rsidRDefault="00CD3E59" w:rsidP="00CD3E59">
      <w:pPr>
        <w:ind w:left="1416"/>
        <w:jc w:val="both"/>
      </w:pPr>
    </w:p>
    <w:p w14:paraId="601451CD" w14:textId="77777777" w:rsidR="00CD3E59" w:rsidRDefault="00CD3E59" w:rsidP="00CD3E59">
      <w:pPr>
        <w:ind w:left="1416"/>
        <w:jc w:val="both"/>
      </w:pPr>
    </w:p>
    <w:p w14:paraId="0692FC9E" w14:textId="7CD4D106" w:rsidR="00CD3E59" w:rsidRDefault="00CD3E59" w:rsidP="00CD3E59">
      <w:pPr>
        <w:ind w:left="1416"/>
        <w:jc w:val="both"/>
      </w:pPr>
      <w:r>
        <w:t>Fait à Pins-Justaret, le 1</w:t>
      </w:r>
      <w:r w:rsidR="007F0C9A">
        <w:t>6</w:t>
      </w:r>
      <w:r>
        <w:t xml:space="preserve"> mai 2023</w:t>
      </w:r>
    </w:p>
    <w:p w14:paraId="4FF1F664" w14:textId="77777777" w:rsidR="00CD3E59" w:rsidRDefault="00CD3E59" w:rsidP="00CD3E59">
      <w:pPr>
        <w:ind w:left="1416"/>
        <w:jc w:val="both"/>
      </w:pPr>
    </w:p>
    <w:p w14:paraId="10862EA0" w14:textId="77777777" w:rsidR="00CD3E59" w:rsidRDefault="00CD3E59" w:rsidP="00CD3E59">
      <w:pPr>
        <w:ind w:left="1416"/>
        <w:jc w:val="both"/>
      </w:pPr>
      <w:r>
        <w:t>Le Maire</w:t>
      </w:r>
    </w:p>
    <w:p w14:paraId="06B770DE" w14:textId="77777777" w:rsidR="00CD3E59" w:rsidRDefault="00CD3E59" w:rsidP="00CD3E59">
      <w:pPr>
        <w:jc w:val="both"/>
      </w:pPr>
    </w:p>
    <w:p w14:paraId="4671A5BA" w14:textId="77777777" w:rsidR="00CD3E59" w:rsidRDefault="00CD3E59" w:rsidP="00CD3E59">
      <w:pPr>
        <w:ind w:left="1416"/>
        <w:jc w:val="both"/>
      </w:pPr>
      <w:r>
        <w:t>Philippe GUERRIOT</w:t>
      </w:r>
    </w:p>
    <w:p w14:paraId="10EFA970" w14:textId="77777777" w:rsidR="00CD3E59" w:rsidRDefault="00CD3E59" w:rsidP="00CD3E59">
      <w:pPr>
        <w:ind w:left="1416"/>
        <w:jc w:val="both"/>
      </w:pPr>
    </w:p>
    <w:p w14:paraId="5543F17F" w14:textId="77777777" w:rsidR="00CD3E59" w:rsidRDefault="00CD3E59" w:rsidP="00CD3E59">
      <w:pPr>
        <w:ind w:left="1416"/>
        <w:jc w:val="both"/>
        <w:rPr>
          <w:sz w:val="18"/>
          <w:szCs w:val="18"/>
        </w:rPr>
      </w:pPr>
    </w:p>
    <w:p w14:paraId="2A947DBD" w14:textId="77777777" w:rsidR="00CD3E59" w:rsidRDefault="00CD3E59" w:rsidP="00CD3E59">
      <w:pPr>
        <w:ind w:left="1416"/>
        <w:jc w:val="both"/>
        <w:rPr>
          <w:sz w:val="18"/>
          <w:szCs w:val="18"/>
        </w:rPr>
      </w:pPr>
      <w:r>
        <w:rPr>
          <w:sz w:val="18"/>
          <w:szCs w:val="18"/>
        </w:rPr>
        <w:t>La présente autorisation pourra faire l’objet d’un recours devant le tribunal administratif compétent dans les 2 mois à compter de sa notification.</w:t>
      </w:r>
    </w:p>
    <w:p w14:paraId="1DA88504" w14:textId="77777777" w:rsidR="00CD3E59" w:rsidRDefault="00CD3E59" w:rsidP="00CD3E59">
      <w:pPr>
        <w:jc w:val="both"/>
      </w:pPr>
    </w:p>
    <w:p w14:paraId="6503BD9F" w14:textId="77777777" w:rsidR="00CD3E59" w:rsidRDefault="00CD3E59" w:rsidP="00CD3E59"/>
    <w:p w14:paraId="5B8E6E6D" w14:textId="77777777" w:rsidR="00CD3E59" w:rsidRDefault="00CD3E59" w:rsidP="00CD3E59"/>
    <w:sectPr w:rsidR="00CD3E59" w:rsidSect="00237AF0">
      <w:pgSz w:w="11906" w:h="16838" w:code="9"/>
      <w:pgMar w:top="1418" w:right="1418" w:bottom="1418" w:left="1418"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59"/>
    <w:rsid w:val="001E59F7"/>
    <w:rsid w:val="00237AF0"/>
    <w:rsid w:val="007F0C9A"/>
    <w:rsid w:val="00BA554F"/>
    <w:rsid w:val="00BF092B"/>
    <w:rsid w:val="00CD3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8610"/>
  <w15:chartTrackingRefBased/>
  <w15:docId w15:val="{48D23F95-BBFE-4E99-B927-F5ED6287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E59"/>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2</Pages>
  <Words>554</Words>
  <Characters>3048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Quellec</dc:creator>
  <cp:keywords/>
  <dc:description/>
  <cp:lastModifiedBy>Sandrine Quellec</cp:lastModifiedBy>
  <cp:revision>3</cp:revision>
  <cp:lastPrinted>2023-05-16T08:24:00Z</cp:lastPrinted>
  <dcterms:created xsi:type="dcterms:W3CDTF">2023-05-15T08:06:00Z</dcterms:created>
  <dcterms:modified xsi:type="dcterms:W3CDTF">2023-05-16T08:26:00Z</dcterms:modified>
</cp:coreProperties>
</file>