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2" w:type="dxa"/>
        <w:tblCellMar>
          <w:top w:w="15" w:type="dxa"/>
          <w:left w:w="15" w:type="dxa"/>
          <w:bottom w:w="15" w:type="dxa"/>
          <w:right w:w="15" w:type="dxa"/>
        </w:tblCellMar>
        <w:tblLook w:val="04A0" w:firstRow="1" w:lastRow="0" w:firstColumn="1" w:lastColumn="0" w:noHBand="0" w:noVBand="1"/>
      </w:tblPr>
      <w:tblGrid>
        <w:gridCol w:w="488"/>
        <w:gridCol w:w="8173"/>
        <w:gridCol w:w="489"/>
      </w:tblGrid>
      <w:tr w:rsidR="00592B8D" w:rsidRPr="00592B8D" w:rsidTr="00592B8D">
        <w:trPr>
          <w:tblCellSpacing w:w="12" w:type="dxa"/>
        </w:trPr>
        <w:tc>
          <w:tcPr>
            <w:tcW w:w="0" w:type="auto"/>
            <w:gridSpan w:val="3"/>
            <w:vAlign w:val="center"/>
            <w:hideMark/>
          </w:tcPr>
          <w:p w:rsidR="00592B8D" w:rsidRPr="00592B8D" w:rsidRDefault="00592B8D" w:rsidP="00592B8D">
            <w:pPr>
              <w:jc w:val="left"/>
              <w:rPr>
                <w:rFonts w:ascii="Arial" w:eastAsia="Times New Roman" w:hAnsi="Arial" w:cs="Arial"/>
                <w:sz w:val="24"/>
                <w:szCs w:val="24"/>
                <w:lang w:eastAsia="fr-FR"/>
              </w:rPr>
            </w:pPr>
          </w:p>
        </w:tc>
      </w:tr>
      <w:tr w:rsidR="00592B8D" w:rsidRPr="00592B8D" w:rsidTr="00592B8D">
        <w:trPr>
          <w:tblCellSpacing w:w="12" w:type="dxa"/>
        </w:trPr>
        <w:tc>
          <w:tcPr>
            <w:tcW w:w="250" w:type="pct"/>
            <w:vAlign w:val="center"/>
            <w:hideMark/>
          </w:tcPr>
          <w:p w:rsidR="00592B8D" w:rsidRPr="00592B8D" w:rsidRDefault="00592B8D" w:rsidP="00592B8D">
            <w:pPr>
              <w:jc w:val="left"/>
              <w:rPr>
                <w:rFonts w:ascii="Arial" w:eastAsia="Times New Roman" w:hAnsi="Arial" w:cs="Arial"/>
                <w:sz w:val="24"/>
                <w:szCs w:val="24"/>
                <w:lang w:eastAsia="fr-FR"/>
              </w:rPr>
            </w:pPr>
          </w:p>
        </w:tc>
        <w:tc>
          <w:tcPr>
            <w:tcW w:w="4500" w:type="pct"/>
            <w:vAlign w:val="center"/>
            <w:hideMark/>
          </w:tcPr>
          <w:p w:rsidR="00592B8D" w:rsidRPr="00592B8D" w:rsidRDefault="00592B8D" w:rsidP="00592B8D">
            <w:pPr>
              <w:rPr>
                <w:rFonts w:ascii="Arial" w:eastAsia="Times New Roman" w:hAnsi="Arial" w:cs="Arial"/>
                <w:color w:val="434343"/>
                <w:sz w:val="28"/>
                <w:szCs w:val="28"/>
                <w:lang w:eastAsia="fr-FR"/>
              </w:rPr>
            </w:pPr>
            <w:r w:rsidRPr="00592B8D">
              <w:rPr>
                <w:rFonts w:ascii="Arial" w:eastAsia="Times New Roman" w:hAnsi="Arial" w:cs="Arial"/>
                <w:b/>
                <w:bCs/>
                <w:color w:val="434343"/>
                <w:sz w:val="28"/>
                <w:szCs w:val="28"/>
                <w:lang w:eastAsia="fr-FR"/>
              </w:rPr>
              <w:t>Avis d'appel public à la concurrence</w:t>
            </w:r>
          </w:p>
          <w:p w:rsidR="00592B8D" w:rsidRPr="00592B8D" w:rsidRDefault="00592B8D" w:rsidP="00592B8D">
            <w:pPr>
              <w:jc w:val="left"/>
              <w:rPr>
                <w:rFonts w:ascii="Arial" w:eastAsia="Times New Roman" w:hAnsi="Arial" w:cs="Arial"/>
                <w:color w:val="434343"/>
                <w:sz w:val="18"/>
                <w:szCs w:val="18"/>
                <w:lang w:eastAsia="fr-FR"/>
              </w:rPr>
            </w:pPr>
            <w:r w:rsidRPr="00592B8D">
              <w:rPr>
                <w:rFonts w:ascii="Arial" w:eastAsia="Times New Roman" w:hAnsi="Arial" w:cs="Arial"/>
                <w:color w:val="434343"/>
                <w:sz w:val="18"/>
                <w:szCs w:val="18"/>
                <w:lang w:eastAsia="fr-FR"/>
              </w:rPr>
              <w:br/>
            </w:r>
          </w:p>
          <w:p w:rsidR="00592B8D" w:rsidRPr="00592B8D" w:rsidRDefault="00592B8D" w:rsidP="00592B8D">
            <w:pPr>
              <w:jc w:val="left"/>
              <w:rPr>
                <w:rFonts w:ascii="Arial" w:eastAsia="Times New Roman" w:hAnsi="Arial" w:cs="Arial"/>
                <w:color w:val="434343"/>
                <w:sz w:val="18"/>
                <w:szCs w:val="18"/>
                <w:lang w:eastAsia="fr-FR"/>
              </w:rPr>
            </w:pPr>
            <w:r w:rsidRPr="00592B8D">
              <w:rPr>
                <w:rFonts w:ascii="Arial" w:eastAsia="Times New Roman" w:hAnsi="Arial" w:cs="Arial"/>
                <w:i/>
                <w:iCs/>
                <w:color w:val="434343"/>
                <w:sz w:val="18"/>
                <w:szCs w:val="18"/>
                <w:lang w:eastAsia="fr-FR"/>
              </w:rPr>
              <w:t>Nom et adresse officiels de l'organisme acheteur : </w:t>
            </w:r>
            <w:r>
              <w:rPr>
                <w:rFonts w:ascii="Arial" w:eastAsia="Times New Roman" w:hAnsi="Arial" w:cs="Arial"/>
                <w:b/>
                <w:color w:val="434343"/>
                <w:sz w:val="18"/>
                <w:szCs w:val="18"/>
                <w:lang w:eastAsia="fr-FR"/>
              </w:rPr>
              <w:t>Ville de Pins-Justaret</w:t>
            </w:r>
            <w:r>
              <w:rPr>
                <w:rFonts w:ascii="Arial" w:eastAsia="Times New Roman" w:hAnsi="Arial" w:cs="Arial"/>
                <w:color w:val="434343"/>
                <w:sz w:val="18"/>
                <w:szCs w:val="18"/>
                <w:lang w:eastAsia="fr-FR"/>
              </w:rPr>
              <w:br/>
              <w:t>Correspondant : M. le Maire, Place du château 31860 Pins-</w:t>
            </w:r>
            <w:r w:rsidRPr="00592B8D">
              <w:rPr>
                <w:rFonts w:ascii="Arial" w:eastAsia="Times New Roman" w:hAnsi="Arial" w:cs="Arial"/>
                <w:color w:val="434343"/>
                <w:sz w:val="18"/>
                <w:szCs w:val="18"/>
                <w:lang w:eastAsia="fr-FR"/>
              </w:rPr>
              <w:t>Justaret, tél. : 05-62-11-71-08, télécopieur : 05-62-11-71-01, courriel : achat@mairie-pinsjustaret.fr.</w:t>
            </w:r>
            <w:r w:rsidRPr="00592B8D">
              <w:rPr>
                <w:rFonts w:ascii="Arial" w:eastAsia="Times New Roman" w:hAnsi="Arial" w:cs="Arial"/>
                <w:color w:val="434343"/>
                <w:sz w:val="18"/>
                <w:szCs w:val="18"/>
                <w:lang w:eastAsia="fr-FR"/>
              </w:rPr>
              <w:br/>
              <w:t xml:space="preserve">Adresse internet du profil d'acheteur : </w:t>
            </w:r>
            <w:hyperlink r:id="rId5" w:history="1">
              <w:r w:rsidRPr="00592B8D">
                <w:rPr>
                  <w:rFonts w:ascii="Arial" w:eastAsia="Times New Roman" w:hAnsi="Arial" w:cs="Arial"/>
                  <w:color w:val="222F81"/>
                  <w:sz w:val="18"/>
                  <w:szCs w:val="18"/>
                  <w:lang w:eastAsia="fr-FR"/>
                </w:rPr>
                <w:t>https://marches-publics.agglo-muretain.fr</w:t>
              </w:r>
            </w:hyperlink>
            <w:r w:rsidRPr="00592B8D">
              <w:rPr>
                <w:rFonts w:ascii="Arial" w:eastAsia="Times New Roman" w:hAnsi="Arial" w:cs="Arial"/>
                <w:color w:val="434343"/>
                <w:sz w:val="18"/>
                <w:szCs w:val="18"/>
                <w:lang w:eastAsia="fr-FR"/>
              </w:rPr>
              <w:t>.</w:t>
            </w:r>
            <w:r w:rsidRPr="00592B8D">
              <w:rPr>
                <w:rFonts w:ascii="Arial" w:eastAsia="Times New Roman" w:hAnsi="Arial" w:cs="Arial"/>
                <w:color w:val="434343"/>
                <w:sz w:val="18"/>
                <w:szCs w:val="18"/>
                <w:lang w:eastAsia="fr-FR"/>
              </w:rPr>
              <w:br/>
              <w:t>Le pouvoir adjudicateur n'agit pas pour le compte d'autres pouvoirs adjudicateurs.</w:t>
            </w:r>
            <w:r w:rsidRPr="00592B8D">
              <w:rPr>
                <w:rFonts w:ascii="Arial" w:eastAsia="Times New Roman" w:hAnsi="Arial" w:cs="Arial"/>
                <w:color w:val="434343"/>
                <w:sz w:val="18"/>
                <w:szCs w:val="18"/>
                <w:lang w:eastAsia="fr-FR"/>
              </w:rPr>
              <w:br/>
            </w:r>
            <w:r w:rsidRPr="00592B8D">
              <w:rPr>
                <w:rFonts w:ascii="Arial" w:eastAsia="Times New Roman" w:hAnsi="Arial" w:cs="Arial"/>
                <w:i/>
                <w:iCs/>
                <w:color w:val="434343"/>
                <w:sz w:val="18"/>
                <w:szCs w:val="18"/>
                <w:lang w:eastAsia="fr-FR"/>
              </w:rPr>
              <w:t xml:space="preserve">Principale(s) Activité(s) du pouvoir adjudicateur : </w:t>
            </w:r>
            <w:r w:rsidRPr="00592B8D">
              <w:rPr>
                <w:rFonts w:ascii="Arial" w:eastAsia="Times New Roman" w:hAnsi="Arial" w:cs="Arial"/>
                <w:color w:val="434343"/>
                <w:sz w:val="18"/>
                <w:szCs w:val="18"/>
                <w:lang w:eastAsia="fr-FR"/>
              </w:rPr>
              <w:t>Services généraux des administrations publiques.</w:t>
            </w:r>
          </w:p>
          <w:p w:rsidR="00592B8D" w:rsidRPr="00592B8D" w:rsidRDefault="00592B8D" w:rsidP="00592B8D">
            <w:pPr>
              <w:spacing w:before="100" w:beforeAutospacing="1" w:after="100" w:afterAutospacing="1"/>
              <w:jc w:val="left"/>
              <w:rPr>
                <w:rFonts w:ascii="Arial" w:eastAsia="Times New Roman" w:hAnsi="Arial" w:cs="Arial"/>
                <w:color w:val="434343"/>
                <w:sz w:val="18"/>
                <w:szCs w:val="18"/>
                <w:lang w:eastAsia="fr-FR"/>
              </w:rPr>
            </w:pPr>
            <w:r w:rsidRPr="00592B8D">
              <w:rPr>
                <w:rFonts w:ascii="Arial" w:eastAsia="Times New Roman" w:hAnsi="Arial" w:cs="Arial"/>
                <w:i/>
                <w:iCs/>
                <w:color w:val="434343"/>
                <w:sz w:val="18"/>
                <w:szCs w:val="18"/>
                <w:lang w:eastAsia="fr-FR"/>
              </w:rPr>
              <w:t>Objet du marché : </w:t>
            </w:r>
            <w:r w:rsidRPr="00592B8D">
              <w:rPr>
                <w:rFonts w:ascii="Arial" w:eastAsia="Times New Roman" w:hAnsi="Arial" w:cs="Arial"/>
                <w:b/>
                <w:bCs/>
                <w:color w:val="434343"/>
                <w:sz w:val="18"/>
                <w:szCs w:val="18"/>
                <w:lang w:eastAsia="fr-FR"/>
              </w:rPr>
              <w:t>marché public de maîtrise d'œuvre pour la rénovation de la Halle des Sports</w:t>
            </w:r>
            <w:r w:rsidRPr="00592B8D">
              <w:rPr>
                <w:rFonts w:ascii="Arial" w:eastAsia="Times New Roman" w:hAnsi="Arial" w:cs="Arial"/>
                <w:color w:val="434343"/>
                <w:sz w:val="18"/>
                <w:szCs w:val="18"/>
                <w:lang w:eastAsia="fr-FR"/>
              </w:rPr>
              <w:t>.</w:t>
            </w:r>
            <w:r w:rsidRPr="00592B8D">
              <w:rPr>
                <w:rFonts w:ascii="Arial" w:eastAsia="Times New Roman" w:hAnsi="Arial" w:cs="Arial"/>
                <w:color w:val="434343"/>
                <w:sz w:val="18"/>
                <w:szCs w:val="18"/>
                <w:lang w:eastAsia="fr-FR"/>
              </w:rPr>
              <w:br/>
            </w:r>
            <w:r w:rsidRPr="00592B8D">
              <w:rPr>
                <w:rFonts w:ascii="Arial" w:eastAsia="Times New Roman" w:hAnsi="Arial" w:cs="Arial"/>
                <w:i/>
                <w:iCs/>
                <w:color w:val="434343"/>
                <w:sz w:val="18"/>
                <w:szCs w:val="18"/>
                <w:lang w:eastAsia="fr-FR"/>
              </w:rPr>
              <w:t>Mots descripteurs</w:t>
            </w:r>
            <w:r w:rsidRPr="00592B8D">
              <w:rPr>
                <w:rFonts w:ascii="Arial" w:eastAsia="Times New Roman" w:hAnsi="Arial" w:cs="Arial"/>
                <w:color w:val="434343"/>
                <w:sz w:val="18"/>
                <w:szCs w:val="18"/>
                <w:lang w:eastAsia="fr-FR"/>
              </w:rPr>
              <w:t xml:space="preserve"> : Maîtrise d'œuvre.</w:t>
            </w:r>
          </w:p>
          <w:p w:rsidR="00592B8D" w:rsidRPr="00592B8D" w:rsidRDefault="00592B8D" w:rsidP="00592B8D">
            <w:pPr>
              <w:spacing w:before="100" w:beforeAutospacing="1" w:after="100" w:afterAutospacing="1"/>
              <w:jc w:val="left"/>
              <w:rPr>
                <w:rFonts w:ascii="Arial" w:eastAsia="Times New Roman" w:hAnsi="Arial" w:cs="Arial"/>
                <w:color w:val="434343"/>
                <w:sz w:val="18"/>
                <w:szCs w:val="18"/>
                <w:lang w:eastAsia="fr-FR"/>
              </w:rPr>
            </w:pPr>
            <w:r w:rsidRPr="00592B8D">
              <w:rPr>
                <w:rFonts w:ascii="Arial" w:eastAsia="Times New Roman" w:hAnsi="Arial" w:cs="Arial"/>
                <w:color w:val="434343"/>
                <w:sz w:val="18"/>
                <w:szCs w:val="18"/>
                <w:lang w:eastAsia="fr-FR"/>
              </w:rPr>
              <w:t>L'avis implique un marché public.</w:t>
            </w:r>
          </w:p>
          <w:p w:rsidR="00592B8D" w:rsidRDefault="00592B8D" w:rsidP="00592B8D">
            <w:pPr>
              <w:jc w:val="left"/>
              <w:rPr>
                <w:rFonts w:ascii="Arial" w:eastAsia="Times New Roman" w:hAnsi="Arial" w:cs="Arial"/>
                <w:i/>
                <w:iCs/>
                <w:color w:val="434343"/>
                <w:sz w:val="18"/>
                <w:szCs w:val="18"/>
                <w:lang w:eastAsia="fr-FR"/>
              </w:rPr>
            </w:pPr>
            <w:r w:rsidRPr="00592B8D">
              <w:rPr>
                <w:rFonts w:ascii="Arial" w:eastAsia="Times New Roman" w:hAnsi="Arial" w:cs="Arial"/>
                <w:i/>
                <w:iCs/>
                <w:color w:val="434343"/>
                <w:sz w:val="18"/>
                <w:szCs w:val="18"/>
                <w:lang w:eastAsia="fr-FR"/>
              </w:rPr>
              <w:t>Caractéristiques principales : </w:t>
            </w:r>
            <w:r w:rsidRPr="00592B8D">
              <w:rPr>
                <w:rFonts w:ascii="Arial" w:eastAsia="Times New Roman" w:hAnsi="Arial" w:cs="Arial"/>
                <w:color w:val="434343"/>
                <w:sz w:val="18"/>
                <w:szCs w:val="18"/>
                <w:lang w:eastAsia="fr-FR"/>
              </w:rPr>
              <w:br/>
            </w:r>
            <w:r w:rsidRPr="00592B8D">
              <w:rPr>
                <w:rFonts w:ascii="Arial" w:eastAsia="Times New Roman" w:hAnsi="Arial" w:cs="Arial"/>
                <w:color w:val="434343"/>
                <w:sz w:val="18"/>
                <w:szCs w:val="18"/>
                <w:lang w:eastAsia="fr-FR"/>
              </w:rPr>
              <w:br/>
            </w:r>
            <w:r w:rsidRPr="00592B8D">
              <w:rPr>
                <w:rFonts w:ascii="Arial" w:eastAsia="Times New Roman" w:hAnsi="Arial" w:cs="Arial"/>
                <w:i/>
                <w:iCs/>
                <w:color w:val="434343"/>
                <w:sz w:val="18"/>
                <w:szCs w:val="18"/>
                <w:lang w:eastAsia="fr-FR"/>
              </w:rPr>
              <w:t>Refus des variantes</w:t>
            </w:r>
            <w:r w:rsidRPr="00592B8D">
              <w:rPr>
                <w:rFonts w:ascii="Arial" w:eastAsia="Times New Roman" w:hAnsi="Arial" w:cs="Arial"/>
                <w:color w:val="434343"/>
                <w:sz w:val="18"/>
                <w:szCs w:val="18"/>
                <w:lang w:eastAsia="fr-FR"/>
              </w:rPr>
              <w:t>.</w:t>
            </w:r>
            <w:r w:rsidRPr="00592B8D">
              <w:rPr>
                <w:rFonts w:ascii="Arial" w:eastAsia="Times New Roman" w:hAnsi="Arial" w:cs="Arial"/>
                <w:color w:val="434343"/>
                <w:sz w:val="18"/>
                <w:szCs w:val="18"/>
                <w:lang w:eastAsia="fr-FR"/>
              </w:rPr>
              <w:br/>
              <w:t>La procédure d'achat du présent avis est couverte par l'accord sur les marchés publics de l'OMC : oui.</w:t>
            </w:r>
            <w:r w:rsidRPr="00592B8D">
              <w:rPr>
                <w:rFonts w:ascii="Arial" w:eastAsia="Times New Roman" w:hAnsi="Arial" w:cs="Arial"/>
                <w:color w:val="434343"/>
                <w:sz w:val="18"/>
                <w:szCs w:val="18"/>
                <w:lang w:eastAsia="fr-FR"/>
              </w:rPr>
              <w:br/>
            </w:r>
            <w:r w:rsidRPr="00592B8D">
              <w:rPr>
                <w:rFonts w:ascii="Arial" w:eastAsia="Times New Roman" w:hAnsi="Arial" w:cs="Arial"/>
                <w:color w:val="434343"/>
                <w:sz w:val="18"/>
                <w:szCs w:val="18"/>
                <w:lang w:eastAsia="fr-FR"/>
              </w:rPr>
              <w:br/>
              <w:t>Prestations divisées en lots : non.</w:t>
            </w:r>
            <w:r w:rsidRPr="00592B8D">
              <w:rPr>
                <w:rFonts w:ascii="Arial" w:eastAsia="Times New Roman" w:hAnsi="Arial" w:cs="Arial"/>
                <w:color w:val="434343"/>
                <w:sz w:val="18"/>
                <w:szCs w:val="18"/>
                <w:lang w:eastAsia="fr-FR"/>
              </w:rPr>
              <w:br/>
            </w:r>
            <w:r w:rsidRPr="00592B8D">
              <w:rPr>
                <w:rFonts w:ascii="Arial" w:eastAsia="Times New Roman" w:hAnsi="Arial" w:cs="Arial"/>
                <w:i/>
                <w:iCs/>
                <w:color w:val="434343"/>
                <w:sz w:val="18"/>
                <w:szCs w:val="18"/>
                <w:lang w:eastAsia="fr-FR"/>
              </w:rPr>
              <w:t>Date prévisionnelle de début des prestations (fournitures/services) : </w:t>
            </w:r>
            <w:r w:rsidRPr="00592B8D">
              <w:rPr>
                <w:rFonts w:ascii="Arial" w:eastAsia="Times New Roman" w:hAnsi="Arial" w:cs="Arial"/>
                <w:b/>
                <w:color w:val="434343"/>
                <w:sz w:val="18"/>
                <w:szCs w:val="18"/>
                <w:lang w:eastAsia="fr-FR"/>
              </w:rPr>
              <w:t>3 juillet 2017</w:t>
            </w:r>
            <w:r w:rsidRPr="00592B8D">
              <w:rPr>
                <w:rFonts w:ascii="Arial" w:eastAsia="Times New Roman" w:hAnsi="Arial" w:cs="Arial"/>
                <w:color w:val="434343"/>
                <w:sz w:val="18"/>
                <w:szCs w:val="18"/>
                <w:lang w:eastAsia="fr-FR"/>
              </w:rPr>
              <w:t>.</w:t>
            </w:r>
            <w:r w:rsidRPr="00592B8D">
              <w:rPr>
                <w:rFonts w:ascii="Arial" w:eastAsia="Times New Roman" w:hAnsi="Arial" w:cs="Arial"/>
                <w:color w:val="434343"/>
                <w:sz w:val="18"/>
                <w:szCs w:val="18"/>
                <w:lang w:eastAsia="fr-FR"/>
              </w:rPr>
              <w:br/>
            </w:r>
          </w:p>
          <w:p w:rsidR="00592B8D" w:rsidRPr="00592B8D" w:rsidRDefault="00592B8D" w:rsidP="00592B8D">
            <w:pPr>
              <w:jc w:val="left"/>
              <w:rPr>
                <w:rFonts w:ascii="Arial" w:eastAsia="Times New Roman" w:hAnsi="Arial" w:cs="Arial"/>
                <w:color w:val="434343"/>
                <w:sz w:val="18"/>
                <w:szCs w:val="18"/>
                <w:lang w:eastAsia="fr-FR"/>
              </w:rPr>
            </w:pPr>
            <w:r w:rsidRPr="00592B8D">
              <w:rPr>
                <w:rFonts w:ascii="Arial" w:eastAsia="Times New Roman" w:hAnsi="Arial" w:cs="Arial"/>
                <w:i/>
                <w:iCs/>
                <w:color w:val="434343"/>
                <w:sz w:val="18"/>
                <w:szCs w:val="18"/>
                <w:lang w:eastAsia="fr-FR"/>
              </w:rPr>
              <w:t>Forme juridique que devra revêtir le groupement d'opérateurs économiques attributaire du marché : </w:t>
            </w:r>
            <w:r w:rsidRPr="00592B8D">
              <w:rPr>
                <w:rFonts w:ascii="Arial" w:eastAsia="Times New Roman" w:hAnsi="Arial" w:cs="Arial"/>
                <w:color w:val="434343"/>
                <w:sz w:val="18"/>
                <w:szCs w:val="18"/>
                <w:lang w:eastAsia="fr-FR"/>
              </w:rPr>
              <w:t>les candidats ne disposant pas des capacités nécessaires pour l'exécution des prestations faisant l'objet du marché, pourront se les adjoindre en constituant un groupement d'opérateurs économiques solidaire ou conjoint. En cas de groupement conjoint, le mandataire du groupement sera solidaire pour l'exécution du marché.</w:t>
            </w:r>
            <w:r w:rsidRPr="00592B8D">
              <w:rPr>
                <w:rFonts w:ascii="Arial" w:eastAsia="Times New Roman" w:hAnsi="Arial" w:cs="Arial"/>
                <w:color w:val="434343"/>
                <w:sz w:val="18"/>
                <w:szCs w:val="18"/>
                <w:lang w:eastAsia="fr-FR"/>
              </w:rPr>
              <w:br/>
            </w:r>
            <w:r w:rsidRPr="00592B8D">
              <w:rPr>
                <w:rFonts w:ascii="Arial" w:eastAsia="Times New Roman" w:hAnsi="Arial" w:cs="Arial"/>
                <w:i/>
                <w:iCs/>
                <w:color w:val="434343"/>
                <w:sz w:val="18"/>
                <w:szCs w:val="18"/>
                <w:lang w:eastAsia="fr-FR"/>
              </w:rPr>
              <w:t>Unité monétaire utilisée, l'euro</w:t>
            </w:r>
            <w:r w:rsidRPr="00592B8D">
              <w:rPr>
                <w:rFonts w:ascii="Arial" w:eastAsia="Times New Roman" w:hAnsi="Arial" w:cs="Arial"/>
                <w:color w:val="434343"/>
                <w:sz w:val="18"/>
                <w:szCs w:val="18"/>
                <w:lang w:eastAsia="fr-FR"/>
              </w:rPr>
              <w:t>.</w:t>
            </w:r>
          </w:p>
          <w:p w:rsidR="00592B8D" w:rsidRPr="00592B8D" w:rsidRDefault="00592B8D" w:rsidP="00592B8D">
            <w:pPr>
              <w:spacing w:before="100" w:beforeAutospacing="1" w:after="100" w:afterAutospacing="1"/>
              <w:jc w:val="left"/>
              <w:rPr>
                <w:rFonts w:ascii="Arial" w:eastAsia="Times New Roman" w:hAnsi="Arial" w:cs="Arial"/>
                <w:color w:val="434343"/>
                <w:sz w:val="18"/>
                <w:szCs w:val="18"/>
                <w:lang w:eastAsia="fr-FR"/>
              </w:rPr>
            </w:pPr>
            <w:r w:rsidRPr="00592B8D">
              <w:rPr>
                <w:rFonts w:ascii="Arial" w:eastAsia="Times New Roman" w:hAnsi="Arial" w:cs="Arial"/>
                <w:i/>
                <w:iCs/>
                <w:color w:val="434343"/>
                <w:sz w:val="18"/>
                <w:szCs w:val="18"/>
                <w:lang w:eastAsia="fr-FR"/>
              </w:rPr>
              <w:t>Conditions de participation : </w:t>
            </w:r>
            <w:r w:rsidRPr="00592B8D">
              <w:rPr>
                <w:rFonts w:ascii="Arial" w:eastAsia="Times New Roman" w:hAnsi="Arial" w:cs="Arial"/>
                <w:color w:val="434343"/>
                <w:sz w:val="18"/>
                <w:szCs w:val="18"/>
                <w:lang w:eastAsia="fr-FR"/>
              </w:rPr>
              <w:br/>
            </w:r>
            <w:r>
              <w:rPr>
                <w:rFonts w:ascii="Arial" w:eastAsia="Times New Roman" w:hAnsi="Arial" w:cs="Arial"/>
                <w:i/>
                <w:iCs/>
                <w:color w:val="434343"/>
                <w:sz w:val="18"/>
                <w:szCs w:val="18"/>
                <w:lang w:eastAsia="fr-FR"/>
              </w:rPr>
              <w:t xml:space="preserve">- </w:t>
            </w:r>
            <w:r w:rsidRPr="00592B8D">
              <w:rPr>
                <w:rFonts w:ascii="Arial" w:eastAsia="Times New Roman" w:hAnsi="Arial" w:cs="Arial"/>
                <w:i/>
                <w:iCs/>
                <w:color w:val="434343"/>
                <w:sz w:val="18"/>
                <w:szCs w:val="18"/>
                <w:lang w:eastAsia="fr-FR"/>
              </w:rPr>
              <w:t>Situation juridique - références requises : </w:t>
            </w:r>
            <w:r w:rsidRPr="00592B8D">
              <w:rPr>
                <w:rFonts w:ascii="Arial" w:eastAsia="Times New Roman" w:hAnsi="Arial" w:cs="Arial"/>
                <w:color w:val="434343"/>
                <w:sz w:val="18"/>
                <w:szCs w:val="18"/>
                <w:lang w:eastAsia="fr-FR"/>
              </w:rPr>
              <w:t>déclaration sur l'honneur du candidat pour justifier qu'il n'entre pas dans un des cas d'interdiction de soumissionner prévus aux articles 45 à 48 de l'ordonnance du 23 juillet 2015 et qu'il est en règle au regard des articles L.5212-1 à 5212-11 du code du travail concernant l'emploi des travailleurs handicapés.</w:t>
            </w:r>
            <w:r w:rsidRPr="00592B8D">
              <w:rPr>
                <w:rFonts w:ascii="Arial" w:eastAsia="Times New Roman" w:hAnsi="Arial" w:cs="Arial"/>
                <w:color w:val="434343"/>
                <w:sz w:val="18"/>
                <w:szCs w:val="18"/>
                <w:lang w:eastAsia="fr-FR"/>
              </w:rPr>
              <w:br/>
            </w:r>
            <w:r>
              <w:rPr>
                <w:rFonts w:ascii="Arial" w:eastAsia="Times New Roman" w:hAnsi="Arial" w:cs="Arial"/>
                <w:i/>
                <w:iCs/>
                <w:color w:val="434343"/>
                <w:sz w:val="18"/>
                <w:szCs w:val="18"/>
                <w:lang w:eastAsia="fr-FR"/>
              </w:rPr>
              <w:t xml:space="preserve">- </w:t>
            </w:r>
            <w:r w:rsidRPr="00592B8D">
              <w:rPr>
                <w:rFonts w:ascii="Arial" w:eastAsia="Times New Roman" w:hAnsi="Arial" w:cs="Arial"/>
                <w:i/>
                <w:iCs/>
                <w:color w:val="434343"/>
                <w:sz w:val="18"/>
                <w:szCs w:val="18"/>
                <w:lang w:eastAsia="fr-FR"/>
              </w:rPr>
              <w:t>Capacité économique et financière - références requises : </w:t>
            </w:r>
            <w:r w:rsidRPr="00592B8D">
              <w:rPr>
                <w:rFonts w:ascii="Arial" w:eastAsia="Times New Roman" w:hAnsi="Arial" w:cs="Arial"/>
                <w:color w:val="434343"/>
                <w:sz w:val="18"/>
                <w:szCs w:val="18"/>
                <w:lang w:eastAsia="fr-FR"/>
              </w:rPr>
              <w:t>une déclaration concernant le chiffre d'affaires global du domaine d'activités faisant l'objet du marché portant au maximum sur les 3 derniers exercices; une déclaration indiquant les effectifs moyens du candidat sur les 3 derniers exercices</w:t>
            </w:r>
            <w:r w:rsidRPr="00592B8D">
              <w:rPr>
                <w:rFonts w:ascii="Arial" w:eastAsia="Times New Roman" w:hAnsi="Arial" w:cs="Arial"/>
                <w:color w:val="434343"/>
                <w:sz w:val="18"/>
                <w:szCs w:val="18"/>
                <w:lang w:eastAsia="fr-FR"/>
              </w:rPr>
              <w:br/>
            </w:r>
            <w:r>
              <w:rPr>
                <w:rFonts w:ascii="Arial" w:eastAsia="Times New Roman" w:hAnsi="Arial" w:cs="Arial"/>
                <w:i/>
                <w:iCs/>
                <w:color w:val="434343"/>
                <w:sz w:val="18"/>
                <w:szCs w:val="18"/>
                <w:lang w:eastAsia="fr-FR"/>
              </w:rPr>
              <w:t xml:space="preserve">- </w:t>
            </w:r>
            <w:r w:rsidRPr="00592B8D">
              <w:rPr>
                <w:rFonts w:ascii="Arial" w:eastAsia="Times New Roman" w:hAnsi="Arial" w:cs="Arial"/>
                <w:i/>
                <w:iCs/>
                <w:color w:val="434343"/>
                <w:sz w:val="18"/>
                <w:szCs w:val="18"/>
                <w:lang w:eastAsia="fr-FR"/>
              </w:rPr>
              <w:t>Référence professionnelle et capacité technique - références requises : </w:t>
            </w:r>
            <w:r w:rsidRPr="00592B8D">
              <w:rPr>
                <w:rFonts w:ascii="Arial" w:eastAsia="Times New Roman" w:hAnsi="Arial" w:cs="Arial"/>
                <w:color w:val="434343"/>
                <w:sz w:val="18"/>
                <w:szCs w:val="18"/>
                <w:lang w:eastAsia="fr-FR"/>
              </w:rPr>
              <w:t>une liste des principales prestations similaires au présent marché; titres d'études; une description du matériel et de l'équipement technique dont dispose le candidat pour exécuter la prestation.</w:t>
            </w:r>
            <w:r w:rsidRPr="00592B8D">
              <w:rPr>
                <w:rFonts w:ascii="Arial" w:eastAsia="Times New Roman" w:hAnsi="Arial" w:cs="Arial"/>
                <w:color w:val="434343"/>
                <w:sz w:val="18"/>
                <w:szCs w:val="18"/>
                <w:lang w:eastAsia="fr-FR"/>
              </w:rPr>
              <w:br/>
            </w:r>
            <w:r w:rsidRPr="00592B8D">
              <w:rPr>
                <w:rFonts w:ascii="Arial" w:eastAsia="Times New Roman" w:hAnsi="Arial" w:cs="Arial"/>
                <w:color w:val="434343"/>
                <w:sz w:val="18"/>
                <w:szCs w:val="18"/>
                <w:lang w:eastAsia="fr-FR"/>
              </w:rPr>
              <w:br/>
              <w:t xml:space="preserve">La transmission et la vérification des documents de candidatures </w:t>
            </w:r>
            <w:proofErr w:type="gramStart"/>
            <w:r w:rsidRPr="00592B8D">
              <w:rPr>
                <w:rFonts w:ascii="Arial" w:eastAsia="Times New Roman" w:hAnsi="Arial" w:cs="Arial"/>
                <w:color w:val="434343"/>
                <w:sz w:val="18"/>
                <w:szCs w:val="18"/>
                <w:lang w:eastAsia="fr-FR"/>
              </w:rPr>
              <w:t>peut</w:t>
            </w:r>
            <w:proofErr w:type="gramEnd"/>
            <w:r w:rsidRPr="00592B8D">
              <w:rPr>
                <w:rFonts w:ascii="Arial" w:eastAsia="Times New Roman" w:hAnsi="Arial" w:cs="Arial"/>
                <w:color w:val="434343"/>
                <w:sz w:val="18"/>
                <w:szCs w:val="18"/>
                <w:lang w:eastAsia="fr-FR"/>
              </w:rPr>
              <w:t xml:space="preserve"> être effectuée par le dispositif Marché public simplifié sur présentation du numéro de SIRET : NON</w:t>
            </w:r>
          </w:p>
          <w:p w:rsidR="00592B8D" w:rsidRPr="00592B8D" w:rsidRDefault="00592B8D" w:rsidP="00592B8D">
            <w:pPr>
              <w:spacing w:before="100" w:beforeAutospacing="1" w:after="100" w:afterAutospacing="1"/>
              <w:jc w:val="left"/>
              <w:rPr>
                <w:rFonts w:ascii="Arial" w:eastAsia="Times New Roman" w:hAnsi="Arial" w:cs="Arial"/>
                <w:b/>
                <w:color w:val="434343"/>
                <w:sz w:val="18"/>
                <w:szCs w:val="18"/>
                <w:lang w:eastAsia="fr-FR"/>
              </w:rPr>
            </w:pPr>
            <w:r w:rsidRPr="00592B8D">
              <w:rPr>
                <w:rFonts w:ascii="Arial" w:eastAsia="Times New Roman" w:hAnsi="Arial" w:cs="Arial"/>
                <w:i/>
                <w:iCs/>
                <w:color w:val="434343"/>
                <w:sz w:val="18"/>
                <w:szCs w:val="18"/>
                <w:lang w:eastAsia="fr-FR"/>
              </w:rPr>
              <w:t>Critères d'attribution : </w:t>
            </w:r>
            <w:r w:rsidRPr="00592B8D">
              <w:rPr>
                <w:rFonts w:ascii="Arial" w:eastAsia="Times New Roman" w:hAnsi="Arial" w:cs="Arial"/>
                <w:color w:val="434343"/>
                <w:sz w:val="18"/>
                <w:szCs w:val="18"/>
                <w:lang w:eastAsia="fr-FR"/>
              </w:rPr>
              <w:br/>
              <w:t>Offre économiquement la plus avantageuse appréciée en fonction des critères énoncés ci-dessous avec leur pondération.</w:t>
            </w:r>
            <w:r w:rsidRPr="00592B8D">
              <w:rPr>
                <w:rFonts w:ascii="Arial" w:eastAsia="Times New Roman" w:hAnsi="Arial" w:cs="Arial"/>
                <w:color w:val="434343"/>
                <w:sz w:val="18"/>
                <w:szCs w:val="18"/>
                <w:lang w:eastAsia="fr-FR"/>
              </w:rPr>
              <w:br/>
            </w:r>
            <w:r w:rsidRPr="00592B8D">
              <w:rPr>
                <w:rFonts w:ascii="Arial" w:eastAsia="Times New Roman" w:hAnsi="Arial" w:cs="Arial"/>
                <w:b/>
                <w:color w:val="434343"/>
                <w:sz w:val="18"/>
                <w:szCs w:val="18"/>
                <w:lang w:eastAsia="fr-FR"/>
              </w:rPr>
              <w:t>     </w:t>
            </w:r>
            <w:r w:rsidR="00517341">
              <w:rPr>
                <w:rFonts w:ascii="Arial" w:eastAsia="Times New Roman" w:hAnsi="Arial" w:cs="Arial"/>
                <w:b/>
                <w:color w:val="434343"/>
                <w:sz w:val="18"/>
                <w:szCs w:val="18"/>
                <w:lang w:eastAsia="fr-FR"/>
              </w:rPr>
              <w:t>- P</w:t>
            </w:r>
            <w:r w:rsidRPr="00592B8D">
              <w:rPr>
                <w:rFonts w:ascii="Arial" w:eastAsia="Times New Roman" w:hAnsi="Arial" w:cs="Arial"/>
                <w:b/>
                <w:color w:val="434343"/>
                <w:sz w:val="18"/>
                <w:szCs w:val="18"/>
                <w:lang w:eastAsia="fr-FR"/>
              </w:rPr>
              <w:t>rix des prestations : 60 %;</w:t>
            </w:r>
            <w:r w:rsidRPr="00592B8D">
              <w:rPr>
                <w:rFonts w:ascii="Arial" w:eastAsia="Times New Roman" w:hAnsi="Arial" w:cs="Arial"/>
                <w:b/>
                <w:color w:val="434343"/>
                <w:sz w:val="18"/>
                <w:szCs w:val="18"/>
                <w:lang w:eastAsia="fr-FR"/>
              </w:rPr>
              <w:br/>
              <w:t>     </w:t>
            </w:r>
            <w:r w:rsidR="00517341">
              <w:rPr>
                <w:rFonts w:ascii="Arial" w:eastAsia="Times New Roman" w:hAnsi="Arial" w:cs="Arial"/>
                <w:b/>
                <w:color w:val="434343"/>
                <w:sz w:val="18"/>
                <w:szCs w:val="18"/>
                <w:lang w:eastAsia="fr-FR"/>
              </w:rPr>
              <w:t>- V</w:t>
            </w:r>
            <w:bookmarkStart w:id="0" w:name="_GoBack"/>
            <w:bookmarkEnd w:id="0"/>
            <w:r w:rsidRPr="00592B8D">
              <w:rPr>
                <w:rFonts w:ascii="Arial" w:eastAsia="Times New Roman" w:hAnsi="Arial" w:cs="Arial"/>
                <w:b/>
                <w:color w:val="434343"/>
                <w:sz w:val="18"/>
                <w:szCs w:val="18"/>
                <w:lang w:eastAsia="fr-FR"/>
              </w:rPr>
              <w:t>aleur technique : 40 %.</w:t>
            </w:r>
          </w:p>
          <w:p w:rsidR="00592B8D" w:rsidRPr="00592B8D" w:rsidRDefault="00592B8D" w:rsidP="00592B8D">
            <w:pPr>
              <w:spacing w:before="100" w:beforeAutospacing="1" w:after="100" w:afterAutospacing="1"/>
              <w:jc w:val="left"/>
              <w:rPr>
                <w:rFonts w:ascii="Arial" w:eastAsia="Times New Roman" w:hAnsi="Arial" w:cs="Arial"/>
                <w:color w:val="434343"/>
                <w:sz w:val="18"/>
                <w:szCs w:val="18"/>
                <w:lang w:eastAsia="fr-FR"/>
              </w:rPr>
            </w:pPr>
            <w:r w:rsidRPr="00592B8D">
              <w:rPr>
                <w:rFonts w:ascii="Arial" w:eastAsia="Times New Roman" w:hAnsi="Arial" w:cs="Arial"/>
                <w:i/>
                <w:iCs/>
                <w:color w:val="434343"/>
                <w:sz w:val="18"/>
                <w:szCs w:val="18"/>
                <w:lang w:eastAsia="fr-FR"/>
              </w:rPr>
              <w:t>Type de procédure : </w:t>
            </w:r>
            <w:r>
              <w:rPr>
                <w:rFonts w:ascii="Arial" w:eastAsia="Times New Roman" w:hAnsi="Arial" w:cs="Arial"/>
                <w:b/>
                <w:color w:val="434343"/>
                <w:sz w:val="18"/>
                <w:szCs w:val="18"/>
                <w:lang w:eastAsia="fr-FR"/>
              </w:rPr>
              <w:t>P</w:t>
            </w:r>
            <w:r w:rsidRPr="00592B8D">
              <w:rPr>
                <w:rFonts w:ascii="Arial" w:eastAsia="Times New Roman" w:hAnsi="Arial" w:cs="Arial"/>
                <w:b/>
                <w:color w:val="434343"/>
                <w:sz w:val="18"/>
                <w:szCs w:val="18"/>
                <w:lang w:eastAsia="fr-FR"/>
              </w:rPr>
              <w:t>rocédure adaptée.</w:t>
            </w:r>
          </w:p>
          <w:p w:rsidR="00592B8D" w:rsidRPr="00592B8D" w:rsidRDefault="00592B8D" w:rsidP="00592B8D">
            <w:pPr>
              <w:spacing w:before="100" w:beforeAutospacing="1" w:after="100" w:afterAutospacing="1"/>
              <w:jc w:val="left"/>
              <w:rPr>
                <w:rFonts w:ascii="Arial" w:eastAsia="Times New Roman" w:hAnsi="Arial" w:cs="Arial"/>
                <w:color w:val="434343"/>
                <w:sz w:val="18"/>
                <w:szCs w:val="18"/>
                <w:lang w:eastAsia="fr-FR"/>
              </w:rPr>
            </w:pPr>
            <w:r w:rsidRPr="00592B8D">
              <w:rPr>
                <w:rFonts w:ascii="Arial" w:eastAsia="Times New Roman" w:hAnsi="Arial" w:cs="Arial"/>
                <w:i/>
                <w:iCs/>
                <w:color w:val="434343"/>
                <w:sz w:val="18"/>
                <w:szCs w:val="18"/>
                <w:lang w:eastAsia="fr-FR"/>
              </w:rPr>
              <w:t>Date limite de réception des offres : </w:t>
            </w:r>
            <w:r w:rsidRPr="00592B8D">
              <w:rPr>
                <w:rFonts w:ascii="Arial" w:eastAsia="Times New Roman" w:hAnsi="Arial" w:cs="Arial"/>
                <w:b/>
                <w:color w:val="434343"/>
                <w:sz w:val="18"/>
                <w:szCs w:val="18"/>
                <w:lang w:eastAsia="fr-FR"/>
              </w:rPr>
              <w:t>9 mai 2017, à 17 heures.</w:t>
            </w:r>
            <w:r w:rsidRPr="00592B8D">
              <w:rPr>
                <w:rFonts w:ascii="Arial" w:eastAsia="Times New Roman" w:hAnsi="Arial" w:cs="Arial"/>
                <w:color w:val="434343"/>
                <w:sz w:val="18"/>
                <w:szCs w:val="18"/>
                <w:lang w:eastAsia="fr-FR"/>
              </w:rPr>
              <w:br/>
            </w:r>
            <w:r w:rsidRPr="00592B8D">
              <w:rPr>
                <w:rFonts w:ascii="Arial" w:eastAsia="Times New Roman" w:hAnsi="Arial" w:cs="Arial"/>
                <w:i/>
                <w:iCs/>
                <w:color w:val="434343"/>
                <w:sz w:val="18"/>
                <w:szCs w:val="18"/>
                <w:lang w:eastAsia="fr-FR"/>
              </w:rPr>
              <w:t>Délai minimum de validité des offres : </w:t>
            </w:r>
            <w:r w:rsidRPr="00592B8D">
              <w:rPr>
                <w:rFonts w:ascii="Arial" w:eastAsia="Times New Roman" w:hAnsi="Arial" w:cs="Arial"/>
                <w:color w:val="434343"/>
                <w:sz w:val="18"/>
                <w:szCs w:val="18"/>
                <w:lang w:eastAsia="fr-FR"/>
              </w:rPr>
              <w:t>90 jours à compter de la date limite de réception des offres.</w:t>
            </w:r>
          </w:p>
          <w:p w:rsidR="00592B8D" w:rsidRPr="00592B8D" w:rsidRDefault="00592B8D" w:rsidP="00592B8D">
            <w:pPr>
              <w:spacing w:before="100" w:beforeAutospacing="1" w:after="100" w:afterAutospacing="1"/>
              <w:jc w:val="left"/>
              <w:rPr>
                <w:rFonts w:ascii="Arial" w:eastAsia="Times New Roman" w:hAnsi="Arial" w:cs="Arial"/>
                <w:color w:val="434343"/>
                <w:sz w:val="18"/>
                <w:szCs w:val="18"/>
                <w:lang w:eastAsia="fr-FR"/>
              </w:rPr>
            </w:pPr>
            <w:r w:rsidRPr="00592B8D">
              <w:rPr>
                <w:rFonts w:ascii="Arial" w:eastAsia="Times New Roman" w:hAnsi="Arial" w:cs="Arial"/>
                <w:i/>
                <w:iCs/>
                <w:color w:val="434343"/>
                <w:sz w:val="18"/>
                <w:szCs w:val="18"/>
                <w:lang w:eastAsia="fr-FR"/>
              </w:rPr>
              <w:t>Instance chargée des procédures de recours : </w:t>
            </w:r>
            <w:r w:rsidRPr="00592B8D">
              <w:rPr>
                <w:rFonts w:ascii="Arial" w:eastAsia="Times New Roman" w:hAnsi="Arial" w:cs="Arial"/>
                <w:color w:val="434343"/>
                <w:sz w:val="18"/>
                <w:szCs w:val="18"/>
                <w:lang w:eastAsia="fr-FR"/>
              </w:rPr>
              <w:t>Tribunal administratif de Toulouse 68 rue Raymond IV B.P. 7007 31068 Toulouse Cedex 07, tél. : 05-62-73-57-57, courriel : greffe.ta-toulouse@juradm.fr, télécopieur : 05-62-73-57-40.</w:t>
            </w:r>
          </w:p>
        </w:tc>
        <w:tc>
          <w:tcPr>
            <w:tcW w:w="0" w:type="auto"/>
            <w:vAlign w:val="center"/>
            <w:hideMark/>
          </w:tcPr>
          <w:p w:rsidR="00592B8D" w:rsidRPr="00592B8D" w:rsidRDefault="00592B8D" w:rsidP="00592B8D">
            <w:pPr>
              <w:jc w:val="left"/>
              <w:rPr>
                <w:rFonts w:ascii="Times New Roman" w:eastAsia="Times New Roman" w:hAnsi="Times New Roman" w:cs="Times New Roman"/>
                <w:sz w:val="20"/>
                <w:szCs w:val="20"/>
                <w:lang w:eastAsia="fr-FR"/>
              </w:rPr>
            </w:pPr>
          </w:p>
        </w:tc>
      </w:tr>
    </w:tbl>
    <w:p w:rsidR="001A5299" w:rsidRDefault="00517341"/>
    <w:sectPr w:rsidR="001A52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B8D"/>
    <w:rsid w:val="004C119C"/>
    <w:rsid w:val="00517341"/>
    <w:rsid w:val="00592B8D"/>
    <w:rsid w:val="007661E2"/>
    <w:rsid w:val="009B21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162019">
      <w:bodyDiv w:val="1"/>
      <w:marLeft w:val="24"/>
      <w:marRight w:val="24"/>
      <w:marTop w:val="24"/>
      <w:marBottom w:val="24"/>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BMP_openWindow(%22https://marches-publics.agglo-muretain.fr%22,%22TestLien%22,%22%22);"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513</Words>
  <Characters>2825</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achat1</dc:creator>
  <cp:lastModifiedBy>achat1</cp:lastModifiedBy>
  <cp:revision>2</cp:revision>
  <dcterms:created xsi:type="dcterms:W3CDTF">2017-04-11T13:00:00Z</dcterms:created>
  <dcterms:modified xsi:type="dcterms:W3CDTF">2017-04-11T13:09:00Z</dcterms:modified>
</cp:coreProperties>
</file>